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und Neubau Mehrfamilienhaus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2.5 mil. SFr Construction start Feb 2026 ‍ Planning/detailed stage Planning application - Early Info ‍ KOHLERSTRAUMANN | Architekt: en AG 4051 Basel Architect. 14 Nov 2025 Terraluk Immobilien AG 4242 Laufen Promoter.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https://smart.olmero.ch/sales/my-projects/1464656?set_client_id=26509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