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Aussensitzplätze für bestehenden Gastronomiebetrieb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https://smart.olmero.ch/sales/my-projects/1464349?set_client_id=26509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