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Wohnhaus mit Kleinwohnungen (1- und 2-Zimmer-Personalwohnungen)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.5 mil. SFr Construction start Feb 2026 ‍ Planning/detailed stage Planning application - Early Info ‍ Graf Bauberatung GmbH 3823 Wengen Promoter. 26 Nov 2025 von Allmen | Architekt: en AG 3800 Interlaken Architect. 26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807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