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Wohnhaus mit Kleinwohnungen (1- und 2-Zimmer-Personalwohnungen)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.5 mil. SFr Construction start Feb 2026 ‍ Planning/detailed stage Planning application - Early Info ‍ Graf Bauberatung GmbH 3823 Wengen Promoter. 26 Nov 2025 von Allmen | Architekt: en AG 3800 Interlaken Architect. 26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9807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