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construction d’une remise agricole et d’une place en chaille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0.45 mil. SFr Construction start Feb 2026 ‍ Planning/detailed stage Building application submitted ‍ François Wüthrich 2333 La Ferrière Promoter. 24 Nov 2025 Jacques Geiser 2333 La Ferrière Architect. 24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https://smart.olmero.ch/sales/my-projects/1468905?set_client_id=26509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