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Ausbau des Dachgeschosses durch isolieren der Aussenwände und Dachflächen, Einbau von Fenstern und einem Holzofen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Feb 2026 ‍ Planning/detailed stage Building application submitted ‍ Dominik Bürgi und Susanna Neuenschwander 3672 Oberdiessbach Promoter. 21 Nov 2025 ‍ Dominik Bürgi Promoter ‍ Susanna Neuenschwander Promoter Christian Breitenstein 3600 Thun Architect. 21 Nov 2025 ‍ Christian Breitenstein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https://smart.olmero.ch/sales/my-projects/1467669?set_client_id=26509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