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) Energetische Sanierungb) Ersatz Ölheizung durch aussenaufgestellte Luft-Wasser-Wärmepumpec) Ersatz und Wiederaufbau der zwei Balkon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4 mil. SFr Construction start Feb 2026 ‍ Planning/detailed stage Building application submitted ‍ Marc Meyer 2564 Bellmund Promoter. 20 Nov 2025 Dietziker | Architekt: en GmbH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31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