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) Energetische Sanierungb) Ersatz Ölheizung durch aussenaufgestellte Luft-Wasser-Wärmepumpec) Ersatz und Wiederaufbau der zwei Balkon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4 mil. SFr Construction start Feb 2026 ‍ Planning/detailed stage Building application submitted ‍ Marc Meyer 2564 Bellmund Promoter. 20 Nov 2025 Dietziker | Architekt: en GmbH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3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