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achträgliche ordentliche Bewilligung und Ersatz der bestehenden adaptiven Mobilfunkantennen (mit Korrekturfaktor) / BE340-6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unrise GMmbH und Swisscom (Schweiz ) AG p.A Sunrise GmbH 8152 Glattpark (Opfikon) Promoter. 20 Nov 2025 Cablex AG 3073 Gümlig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97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