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e remise agricole et d’une place en chaille pour le rangement de machines et stockage de fourrage,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8 mil. SFr Construction start Jan 2026 ‍ Planning/detailed stage Building application submitted ‍ François Wüthrich 2333 La Ferrière Promoter. 19 Nov 2025 Jacques Geiser 2333 La Ferrière Architect. 19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109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