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e remise agricole et d’une place en chaille pour le rangement de machines et stockage de fourrage,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8 mil. SFr Construction start Jan 2026 ‍ Planning/detailed stage Building application submitted ‍ François Wüthrich 2333 La Ferrière Promoter. 19 Nov 2025 Jacques Geiser 2333 La Ferrière Architect. 19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09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