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und -ergänzung zu Gesamtbauentscheid bbew-179- 2023 vom 13. Mai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https://smart.olmero.ch/sales/my-projects/1466230?set_client_id=26509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