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Standortverschiebung Neubau Wohnhaus und Umnutzung Wohnteil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1.5 mil. SFr Construction start Feb 2026 ‍ Planning/detailed stage Planning application - Early Info ‍ Toni Reichenbach 3782 Lauenen Promoter. 18 Nov 2025 ‍ Toni Reichenbach Promoter Reto Burri 3782 Lauenen b. Gstaad Architect. 18 Nov 2025 ‍ Reto Burri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https://smart.olmero.ch/sales/my-projects/1466097?set_client_id=26509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