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Erweiterung Kellerraum unter der bestehenden aufgeschütteten Terrasse, Abdichtung alte Kellerwand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0.05 mil. SFr Construction start Jan 2026 ‍ Planning/detailed stage Building application submitted ‍ Katja &amp; Lukas Hug 3800 Unterseen Architect. 17 Nov 2025 Promoter. 17 Nov 2025 ‍ Lukas Hug Architect Promoter ‍ Katja Hug Architect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https://smart.olmero.ch/sales/my-projects/1465335?set_client_id=26509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