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stallation de six salles de classe, d’une salle des maîtres,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8 mil. SFr Construction start Jan 2026 ‍ Planning/detailed stage Building application submitted ‍ Municipalité de Courtelary Promoter. 14 Nov 2025 Studiov9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92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