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remplacement d’une chaudière électrique par une pompe à chaleur air-eau extérieure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Maude Simon Propriétaire foncier idem requérant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https://smart.olmero.ch/sales/my-projects/1464962?set_client_id=26509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