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Unterteilung des Einfamilienhauses in zwei Wohnungen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0.35 mil. SFr Construction start Jan 2026 ‍ Planning/detailed stage Building application submitted ‍ Bauzeit | Architekt: en GmbH 2502 Biel/Bienne Architect.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https://smart.olmero.ch/sales/my-projects/1464079?set_client_id=26509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