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 Projektänderung Anpassungen in der Grundrissgestaltung, Verlängerung bestehender Balkon im 1. VG, Einbau von drei Cheminéeof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https://smart.olmero.ch/sales/my-projects/1464138?set_client_id=26509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