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. 12 Nov 2025 ‍ | Baustart: Jan 2026 ‍ Planung/detaillierte | Phase: Baugesuch eingereicht ‍ Helion Energy AG 4528 Zuchwil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https://smart.olmero.ch/sales/my-projects/1463611?set_client_id=26509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