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Arztpraxis in Wohnung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Bauherr: . 12 Nov 2025 ‍ | Architekt: en HTL/STV AG | Baustart: Dez 2025 ‍ Planung/detaillierte | Phase: Baugesuch eingereicht ‍ Müller + Partner dipl.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https://smart.olmero.ch/sales/my-projects/1463417?set_client_id=26509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