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Umnutzung Arztpraxis in Wohnung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| Bauherr: . 12 Nov 2025 ‍ | Architekt: en HTL/STV AG | Baustart: Dez 2025 ‍ Planung/detaillierte | Phase: Baugesuch eingereicht ‍ Müller + Partner dipl.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https://smart.olmero.ch/sales/my-projects/1463417?set_client_id=26509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